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2" w:rsidRDefault="00F713E2" w:rsidP="0013032F">
      <w:pPr>
        <w:pStyle w:val="Geenafstand"/>
        <w:rPr>
          <w:rStyle w:val="Titelvanboek"/>
          <w:b w:val="0"/>
          <w:bCs w:val="0"/>
          <w:i w:val="0"/>
          <w:iCs w:val="0"/>
          <w:spacing w:val="0"/>
        </w:rPr>
      </w:pPr>
    </w:p>
    <w:p w:rsidR="00F713E2" w:rsidRDefault="00F713E2" w:rsidP="00F713E2">
      <w:pPr>
        <w:pStyle w:val="Default"/>
      </w:pPr>
    </w:p>
    <w:p w:rsidR="00F713E2" w:rsidRDefault="00F713E2" w:rsidP="00F713E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Beeldvorming bij Grote </w:t>
      </w:r>
      <w:r w:rsidR="007E1BC5">
        <w:rPr>
          <w:b/>
          <w:bCs/>
          <w:sz w:val="32"/>
          <w:szCs w:val="32"/>
        </w:rPr>
        <w:t>Vaten V</w:t>
      </w:r>
      <w:r>
        <w:rPr>
          <w:b/>
          <w:bCs/>
          <w:sz w:val="32"/>
          <w:szCs w:val="32"/>
        </w:rPr>
        <w:t xml:space="preserve">asculitis </w:t>
      </w:r>
    </w:p>
    <w:p w:rsidR="00902388" w:rsidRDefault="00902388" w:rsidP="00F713E2">
      <w:pPr>
        <w:pStyle w:val="Default"/>
        <w:rPr>
          <w:b/>
          <w:bCs/>
          <w:sz w:val="32"/>
          <w:szCs w:val="32"/>
        </w:rPr>
      </w:pPr>
    </w:p>
    <w:p w:rsidR="00F3142C" w:rsidRDefault="00F3142C" w:rsidP="00902388">
      <w:pPr>
        <w:rPr>
          <w:color w:val="000000"/>
        </w:rPr>
      </w:pPr>
      <w:r>
        <w:rPr>
          <w:color w:val="000000"/>
        </w:rPr>
        <w:t>Uitnodiging</w:t>
      </w:r>
      <w:r w:rsidR="007E3D88">
        <w:rPr>
          <w:color w:val="000000"/>
        </w:rPr>
        <w:t>:</w:t>
      </w:r>
      <w:r w:rsidR="00C06E97">
        <w:rPr>
          <w:color w:val="000000"/>
        </w:rPr>
        <w:t xml:space="preserve"> </w:t>
      </w:r>
      <w:r>
        <w:rPr>
          <w:color w:val="000000"/>
        </w:rPr>
        <w:t>Regionale Refereeravond Midden-Brabant (Den Bosch, Helmond en Tilburg)</w:t>
      </w:r>
    </w:p>
    <w:p w:rsidR="0069282A" w:rsidRDefault="0069282A" w:rsidP="00902388">
      <w:pPr>
        <w:rPr>
          <w:color w:val="000000"/>
        </w:rPr>
      </w:pPr>
      <w:r>
        <w:rPr>
          <w:color w:val="000000"/>
        </w:rPr>
        <w:t>Voor: alle reumatologen, VS/</w:t>
      </w:r>
      <w:proofErr w:type="spellStart"/>
      <w:r>
        <w:rPr>
          <w:color w:val="000000"/>
        </w:rPr>
        <w:t>PA’s</w:t>
      </w:r>
      <w:proofErr w:type="spellEnd"/>
      <w:r>
        <w:rPr>
          <w:color w:val="000000"/>
        </w:rPr>
        <w:t>, AIOS interne (</w:t>
      </w:r>
      <w:bookmarkStart w:id="0" w:name="_GoBack"/>
      <w:bookmarkEnd w:id="0"/>
      <w:r>
        <w:rPr>
          <w:color w:val="000000"/>
        </w:rPr>
        <w:t>stage bij reumatologie)</w:t>
      </w:r>
    </w:p>
    <w:p w:rsidR="00902388" w:rsidRDefault="00902388" w:rsidP="00902388">
      <w:pPr>
        <w:rPr>
          <w:color w:val="000000"/>
        </w:rPr>
      </w:pPr>
      <w:r>
        <w:rPr>
          <w:color w:val="000000"/>
        </w:rPr>
        <w:t>Datum: woensdag 20 november </w:t>
      </w:r>
    </w:p>
    <w:p w:rsidR="00902388" w:rsidRDefault="00F3142C" w:rsidP="00902388">
      <w:pPr>
        <w:rPr>
          <w:color w:val="000000"/>
        </w:rPr>
      </w:pPr>
      <w:r>
        <w:rPr>
          <w:color w:val="000000"/>
        </w:rPr>
        <w:t>Locatie</w:t>
      </w:r>
      <w:r w:rsidR="00902388">
        <w:rPr>
          <w:color w:val="000000"/>
        </w:rPr>
        <w:t xml:space="preserve">: </w:t>
      </w:r>
      <w:proofErr w:type="gramStart"/>
      <w:r w:rsidR="00902388">
        <w:rPr>
          <w:color w:val="000000"/>
        </w:rPr>
        <w:t>ETZ ziekenhuis</w:t>
      </w:r>
      <w:proofErr w:type="gramEnd"/>
      <w:r w:rsidR="00902388">
        <w:rPr>
          <w:color w:val="000000"/>
        </w:rPr>
        <w:t xml:space="preserve">, </w:t>
      </w:r>
      <w:proofErr w:type="spellStart"/>
      <w:r w:rsidR="00902388">
        <w:rPr>
          <w:color w:val="000000"/>
        </w:rPr>
        <w:t>Dr</w:t>
      </w:r>
      <w:proofErr w:type="spellEnd"/>
      <w:r w:rsidR="00902388">
        <w:rPr>
          <w:color w:val="000000"/>
        </w:rPr>
        <w:t xml:space="preserve"> Deelenlaan 5, te Tilburg </w:t>
      </w:r>
      <w:r w:rsidR="00D5392E">
        <w:rPr>
          <w:color w:val="000000"/>
        </w:rPr>
        <w:t>(ruimte volgt)</w:t>
      </w:r>
    </w:p>
    <w:p w:rsidR="005E543D" w:rsidRDefault="005E543D" w:rsidP="00902388">
      <w:pPr>
        <w:rPr>
          <w:color w:val="000000"/>
        </w:rPr>
      </w:pPr>
    </w:p>
    <w:p w:rsidR="00B433E3" w:rsidRDefault="00902388" w:rsidP="00902388">
      <w:pPr>
        <w:rPr>
          <w:color w:val="000000"/>
        </w:rPr>
      </w:pPr>
      <w:r w:rsidRPr="007E3D88">
        <w:rPr>
          <w:b/>
          <w:color w:val="000000"/>
        </w:rPr>
        <w:t xml:space="preserve">Programma </w:t>
      </w:r>
      <w:r>
        <w:rPr>
          <w:color w:val="000000"/>
        </w:rPr>
        <w:t xml:space="preserve">(accreditatie wordt aangevraagd) </w:t>
      </w:r>
    </w:p>
    <w:p w:rsidR="00014884" w:rsidRDefault="00014884" w:rsidP="00902388">
      <w:pPr>
        <w:rPr>
          <w:color w:val="000000"/>
        </w:rPr>
      </w:pPr>
      <w:r>
        <w:rPr>
          <w:color w:val="000000"/>
        </w:rPr>
        <w:t>17.30 – 18.00</w:t>
      </w:r>
      <w:r w:rsidR="00F3142C">
        <w:rPr>
          <w:color w:val="000000"/>
        </w:rPr>
        <w:t xml:space="preserve"> </w:t>
      </w:r>
      <w:r w:rsidR="007E3D88">
        <w:rPr>
          <w:color w:val="000000"/>
        </w:rPr>
        <w:tab/>
      </w:r>
      <w:r w:rsidR="00F3142C">
        <w:rPr>
          <w:color w:val="000000"/>
        </w:rPr>
        <w:t>Ontvangst met soep en</w:t>
      </w:r>
      <w:r w:rsidR="00902388">
        <w:rPr>
          <w:color w:val="000000"/>
        </w:rPr>
        <w:t xml:space="preserve"> broodje</w:t>
      </w:r>
      <w:r w:rsidR="00F3142C">
        <w:rPr>
          <w:color w:val="000000"/>
        </w:rPr>
        <w:t>s</w:t>
      </w:r>
      <w:r w:rsidR="00902388">
        <w:rPr>
          <w:color w:val="000000"/>
        </w:rPr>
        <w:t xml:space="preserve"> </w:t>
      </w:r>
    </w:p>
    <w:p w:rsidR="00014884" w:rsidRDefault="00014884" w:rsidP="00902388">
      <w:pPr>
        <w:rPr>
          <w:color w:val="000000"/>
        </w:rPr>
      </w:pPr>
      <w:r>
        <w:rPr>
          <w:color w:val="000000"/>
        </w:rPr>
        <w:t>18.00 – 18.15</w:t>
      </w:r>
      <w:r w:rsidR="00902388">
        <w:rPr>
          <w:color w:val="000000"/>
        </w:rPr>
        <w:t xml:space="preserve"> </w:t>
      </w:r>
      <w:r w:rsidR="007E3D88">
        <w:rPr>
          <w:color w:val="000000"/>
        </w:rPr>
        <w:tab/>
      </w:r>
      <w:r w:rsidR="00902388">
        <w:rPr>
          <w:color w:val="000000"/>
        </w:rPr>
        <w:t xml:space="preserve">Welkom &amp; introductie programma  </w:t>
      </w:r>
    </w:p>
    <w:p w:rsidR="007E3D88" w:rsidRDefault="00014884" w:rsidP="00902388">
      <w:pPr>
        <w:rPr>
          <w:color w:val="000000"/>
        </w:rPr>
      </w:pPr>
      <w:r>
        <w:rPr>
          <w:color w:val="000000"/>
        </w:rPr>
        <w:t>18.15 – 19.15</w:t>
      </w:r>
      <w:r w:rsidR="00902388">
        <w:rPr>
          <w:color w:val="000000"/>
        </w:rPr>
        <w:t xml:space="preserve"> </w:t>
      </w:r>
      <w:r w:rsidR="007E3D88">
        <w:rPr>
          <w:color w:val="000000"/>
        </w:rPr>
        <w:tab/>
      </w:r>
      <w:proofErr w:type="spellStart"/>
      <w:r w:rsidR="00F3142C">
        <w:rPr>
          <w:color w:val="000000"/>
        </w:rPr>
        <w:t>Dr</w:t>
      </w:r>
      <w:proofErr w:type="spellEnd"/>
      <w:r w:rsidR="00F3142C">
        <w:rPr>
          <w:color w:val="000000"/>
        </w:rPr>
        <w:t xml:space="preserve"> R. Pijpers, nucleair geneeskundige ETZ: </w:t>
      </w:r>
    </w:p>
    <w:p w:rsidR="00014884" w:rsidRDefault="00902388" w:rsidP="007E3D88">
      <w:pPr>
        <w:ind w:left="708" w:firstLine="708"/>
        <w:rPr>
          <w:color w:val="000000"/>
        </w:rPr>
      </w:pPr>
      <w:r>
        <w:rPr>
          <w:color w:val="000000"/>
        </w:rPr>
        <w:t>PET-scan bij reumatische aandoeningen i</w:t>
      </w:r>
      <w:r w:rsidR="00014884">
        <w:rPr>
          <w:color w:val="000000"/>
        </w:rPr>
        <w:t>.</w:t>
      </w:r>
      <w:r>
        <w:rPr>
          <w:color w:val="000000"/>
        </w:rPr>
        <w:t>h</w:t>
      </w:r>
      <w:r w:rsidR="00014884">
        <w:rPr>
          <w:color w:val="000000"/>
        </w:rPr>
        <w:t>.</w:t>
      </w:r>
      <w:r>
        <w:rPr>
          <w:color w:val="000000"/>
        </w:rPr>
        <w:t>b</w:t>
      </w:r>
      <w:r w:rsidR="00014884">
        <w:rPr>
          <w:color w:val="000000"/>
        </w:rPr>
        <w:t>.</w:t>
      </w:r>
      <w:r>
        <w:rPr>
          <w:color w:val="000000"/>
        </w:rPr>
        <w:t xml:space="preserve"> PMR en GCA</w:t>
      </w:r>
    </w:p>
    <w:p w:rsidR="007E3D88" w:rsidRDefault="00014884" w:rsidP="00902388">
      <w:pPr>
        <w:rPr>
          <w:color w:val="000000"/>
        </w:rPr>
      </w:pPr>
      <w:r>
        <w:rPr>
          <w:color w:val="000000"/>
        </w:rPr>
        <w:t xml:space="preserve">19:15 – 20:15 </w:t>
      </w:r>
      <w:r w:rsidR="007E3D88">
        <w:rPr>
          <w:color w:val="000000"/>
        </w:rPr>
        <w:tab/>
      </w:r>
      <w:proofErr w:type="spellStart"/>
      <w:r w:rsidR="00F3142C">
        <w:rPr>
          <w:color w:val="000000"/>
        </w:rPr>
        <w:t>Dr</w:t>
      </w:r>
      <w:proofErr w:type="spellEnd"/>
      <w:r w:rsidR="00F3142C">
        <w:rPr>
          <w:color w:val="000000"/>
        </w:rPr>
        <w:t xml:space="preserve"> D. Boumans, reumatoloog ZGT: </w:t>
      </w:r>
    </w:p>
    <w:p w:rsidR="00014884" w:rsidRDefault="00902388" w:rsidP="007E3D88">
      <w:pPr>
        <w:ind w:left="708" w:firstLine="708"/>
        <w:rPr>
          <w:color w:val="000000"/>
        </w:rPr>
      </w:pPr>
      <w:r>
        <w:rPr>
          <w:color w:val="000000"/>
        </w:rPr>
        <w:t>Grote Vaten Vasculitis: van casus naar diagnostiek</w:t>
      </w:r>
    </w:p>
    <w:p w:rsidR="00014884" w:rsidRDefault="00014884" w:rsidP="00902388">
      <w:pPr>
        <w:rPr>
          <w:color w:val="000000"/>
        </w:rPr>
      </w:pPr>
      <w:r>
        <w:rPr>
          <w:color w:val="000000"/>
        </w:rPr>
        <w:t>20:15 – 20:30</w:t>
      </w:r>
      <w:r w:rsidR="00902388">
        <w:rPr>
          <w:color w:val="000000"/>
        </w:rPr>
        <w:t xml:space="preserve"> </w:t>
      </w:r>
      <w:r w:rsidR="007E3D88">
        <w:rPr>
          <w:color w:val="000000"/>
        </w:rPr>
        <w:tab/>
      </w:r>
      <w:r w:rsidR="00902388">
        <w:rPr>
          <w:color w:val="000000"/>
        </w:rPr>
        <w:t>Afsluiting</w:t>
      </w:r>
    </w:p>
    <w:p w:rsidR="005E543D" w:rsidRDefault="005E543D" w:rsidP="00902388">
      <w:pPr>
        <w:rPr>
          <w:color w:val="000000"/>
        </w:rPr>
      </w:pPr>
    </w:p>
    <w:p w:rsidR="00014884" w:rsidRPr="007E3D88" w:rsidRDefault="00902388" w:rsidP="00902388">
      <w:pPr>
        <w:rPr>
          <w:b/>
          <w:color w:val="000000"/>
        </w:rPr>
      </w:pPr>
      <w:r w:rsidRPr="007E3D88">
        <w:rPr>
          <w:b/>
          <w:color w:val="000000"/>
        </w:rPr>
        <w:t xml:space="preserve">Leerdoelen </w:t>
      </w:r>
    </w:p>
    <w:p w:rsidR="00014884" w:rsidRDefault="00014884" w:rsidP="00902388">
      <w:pPr>
        <w:rPr>
          <w:color w:val="000000"/>
        </w:rPr>
      </w:pPr>
    </w:p>
    <w:p w:rsidR="00014884" w:rsidRDefault="00902388" w:rsidP="00902388">
      <w:pPr>
        <w:rPr>
          <w:color w:val="000000"/>
        </w:rPr>
      </w:pP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Pijpers </w:t>
      </w:r>
    </w:p>
    <w:p w:rsidR="00014884" w:rsidRDefault="00902388" w:rsidP="00902388">
      <w:pPr>
        <w:rPr>
          <w:color w:val="000000"/>
        </w:rPr>
      </w:pPr>
      <w:r>
        <w:rPr>
          <w:color w:val="000000"/>
        </w:rPr>
        <w:t xml:space="preserve">-PET-scan: toelichting op techniek, wat komt in beeld </w:t>
      </w:r>
    </w:p>
    <w:p w:rsidR="00014884" w:rsidRDefault="00902388" w:rsidP="00902388">
      <w:pPr>
        <w:rPr>
          <w:color w:val="000000"/>
        </w:rPr>
      </w:pPr>
      <w:r>
        <w:rPr>
          <w:color w:val="000000"/>
        </w:rPr>
        <w:t xml:space="preserve">-Herkenning van patronen bij PET-scan </w:t>
      </w:r>
    </w:p>
    <w:p w:rsidR="00014884" w:rsidRDefault="00902388" w:rsidP="00902388">
      <w:pPr>
        <w:rPr>
          <w:color w:val="000000"/>
        </w:rPr>
      </w:pPr>
      <w:r>
        <w:rPr>
          <w:color w:val="000000"/>
        </w:rPr>
        <w:t xml:space="preserve">-Wat </w:t>
      </w:r>
      <w:r w:rsidR="007E1BC5">
        <w:rPr>
          <w:color w:val="000000"/>
        </w:rPr>
        <w:t>te meten bij GCA en PMR;</w:t>
      </w:r>
      <w:r>
        <w:rPr>
          <w:color w:val="000000"/>
        </w:rPr>
        <w:t xml:space="preserve"> verschillen/gelijkenis </w:t>
      </w:r>
      <w:r w:rsidR="00325E17">
        <w:rPr>
          <w:color w:val="000000"/>
        </w:rPr>
        <w:t xml:space="preserve">met tevens </w:t>
      </w:r>
      <w:r w:rsidR="007E1BC5">
        <w:rPr>
          <w:color w:val="000000"/>
        </w:rPr>
        <w:t>casuïstiek</w:t>
      </w:r>
    </w:p>
    <w:p w:rsidR="00325E17" w:rsidRDefault="00902388" w:rsidP="00902388">
      <w:pPr>
        <w:rPr>
          <w:color w:val="000000"/>
        </w:rPr>
      </w:pPr>
      <w:r>
        <w:rPr>
          <w:color w:val="000000"/>
        </w:rPr>
        <w:t xml:space="preserve">-Differentiaal diagnose bij uitslagen PET-scan </w:t>
      </w:r>
    </w:p>
    <w:p w:rsidR="00325E17" w:rsidRDefault="00902388" w:rsidP="00902388">
      <w:pPr>
        <w:rPr>
          <w:color w:val="000000"/>
        </w:rPr>
      </w:pPr>
      <w:r>
        <w:rPr>
          <w:color w:val="000000"/>
        </w:rPr>
        <w:t>-</w:t>
      </w:r>
      <w:r w:rsidR="00325E17">
        <w:rPr>
          <w:color w:val="000000"/>
        </w:rPr>
        <w:t>Diagnostische waarde: w</w:t>
      </w:r>
      <w:r>
        <w:rPr>
          <w:color w:val="000000"/>
        </w:rPr>
        <w:t xml:space="preserve">anneer spreek je van 'positieve' uitslag en wat is 'normaal' </w:t>
      </w:r>
    </w:p>
    <w:p w:rsidR="00325E17" w:rsidRDefault="00902388" w:rsidP="00902388">
      <w:pPr>
        <w:rPr>
          <w:color w:val="000000"/>
        </w:rPr>
      </w:pPr>
      <w:r>
        <w:rPr>
          <w:color w:val="000000"/>
        </w:rPr>
        <w:t>-Fo</w:t>
      </w:r>
      <w:r w:rsidR="007E1BC5">
        <w:rPr>
          <w:color w:val="000000"/>
        </w:rPr>
        <w:t>llow-up van behandeling met PET-scan</w:t>
      </w:r>
    </w:p>
    <w:p w:rsidR="00325E17" w:rsidRDefault="00325E17" w:rsidP="00325E17">
      <w:pPr>
        <w:rPr>
          <w:i/>
          <w:color w:val="000000"/>
        </w:rPr>
      </w:pPr>
    </w:p>
    <w:p w:rsidR="00325E17" w:rsidRDefault="00325E17" w:rsidP="00902388">
      <w:pPr>
        <w:rPr>
          <w:color w:val="000000"/>
        </w:rPr>
      </w:pP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Boumans</w:t>
      </w:r>
    </w:p>
    <w:p w:rsidR="000755AB" w:rsidRDefault="000755AB" w:rsidP="000755AB">
      <w:pPr>
        <w:rPr>
          <w:color w:val="000000"/>
        </w:rPr>
      </w:pPr>
      <w:r>
        <w:rPr>
          <w:color w:val="000000"/>
        </w:rPr>
        <w:t xml:space="preserve">-Symptomen GCA en uitdiepen en Red </w:t>
      </w:r>
      <w:proofErr w:type="spellStart"/>
      <w:r>
        <w:rPr>
          <w:color w:val="000000"/>
        </w:rPr>
        <w:t>flags</w:t>
      </w:r>
      <w:proofErr w:type="spellEnd"/>
      <w:r>
        <w:rPr>
          <w:color w:val="000000"/>
        </w:rPr>
        <w:t xml:space="preserve"> in de anamnese van GCA </w:t>
      </w:r>
    </w:p>
    <w:p w:rsidR="000755AB" w:rsidRDefault="000755AB" w:rsidP="000755AB">
      <w:pPr>
        <w:rPr>
          <w:color w:val="000000"/>
        </w:rPr>
      </w:pPr>
      <w:r>
        <w:rPr>
          <w:color w:val="000000"/>
        </w:rPr>
        <w:t>-De waarde van BSE en CRP in aanvragen diagnostiek en follow-up</w:t>
      </w:r>
    </w:p>
    <w:p w:rsidR="000755AB" w:rsidRDefault="000755AB" w:rsidP="000755AB">
      <w:pPr>
        <w:rPr>
          <w:color w:val="000000"/>
        </w:rPr>
      </w:pPr>
      <w:r>
        <w:rPr>
          <w:color w:val="000000"/>
        </w:rPr>
        <w:t xml:space="preserve">-Beeldvorming GCA, i.h.b. toepasbaarheid van echografie en arterie temporalis biopt </w:t>
      </w:r>
    </w:p>
    <w:p w:rsidR="000755AB" w:rsidRDefault="000755AB" w:rsidP="000755AB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Pitfalls</w:t>
      </w:r>
      <w:proofErr w:type="spellEnd"/>
      <w:r>
        <w:rPr>
          <w:color w:val="000000"/>
        </w:rPr>
        <w:t xml:space="preserve"> in interpretatie van echo en AT-biopt: voor- en nadelen van beide</w:t>
      </w:r>
    </w:p>
    <w:p w:rsidR="000755AB" w:rsidRDefault="000755AB" w:rsidP="000755AB">
      <w:pPr>
        <w:rPr>
          <w:color w:val="000000"/>
        </w:rPr>
      </w:pPr>
      <w:r>
        <w:rPr>
          <w:color w:val="000000"/>
        </w:rPr>
        <w:t xml:space="preserve">-Stappenplan/algoritme in de diagnostiek van GCA </w:t>
      </w:r>
    </w:p>
    <w:p w:rsidR="00C06E97" w:rsidRDefault="00C06E97" w:rsidP="000755AB">
      <w:pPr>
        <w:rPr>
          <w:color w:val="000000"/>
        </w:rPr>
      </w:pPr>
      <w:r>
        <w:rPr>
          <w:color w:val="000000"/>
        </w:rPr>
        <w:t>-Behandeling en follow-up van GCA</w:t>
      </w:r>
    </w:p>
    <w:p w:rsidR="00C06E97" w:rsidRDefault="00C06E97" w:rsidP="000755AB">
      <w:pPr>
        <w:rPr>
          <w:color w:val="000000"/>
        </w:rPr>
      </w:pPr>
    </w:p>
    <w:p w:rsidR="00C06E97" w:rsidRDefault="00C06E97" w:rsidP="000755AB">
      <w:pPr>
        <w:rPr>
          <w:color w:val="000000"/>
        </w:rPr>
      </w:pPr>
    </w:p>
    <w:p w:rsidR="00F3142C" w:rsidRDefault="005E543D" w:rsidP="00902388">
      <w:pPr>
        <w:rPr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14605</wp:posOffset>
            </wp:positionV>
            <wp:extent cx="1327785" cy="1327785"/>
            <wp:effectExtent l="0" t="0" r="5715" b="5715"/>
            <wp:wrapSquare wrapText="bothSides"/>
            <wp:docPr id="5" name="Afbeelding 5" descr="Afbeeldingsresultaat voor et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t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2C" w:rsidRDefault="005E543D" w:rsidP="00F3142C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10160</wp:posOffset>
            </wp:positionV>
            <wp:extent cx="2379345" cy="1335405"/>
            <wp:effectExtent l="0" t="0" r="1905" b="0"/>
            <wp:wrapSquare wrapText="bothSides"/>
            <wp:docPr id="6" name="Afbeelding 6" descr="Afbeeldingsresultaat voor elkerli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lkerli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287780" cy="1287780"/>
            <wp:effectExtent l="0" t="0" r="7620" b="7620"/>
            <wp:wrapSquare wrapText="bothSides"/>
            <wp:docPr id="2" name="Afbeelding 2" descr="Afbeeldingsresultaat voor jb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jb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2C" w:rsidRDefault="00F3142C" w:rsidP="00F3142C"/>
    <w:p w:rsidR="007E3D88" w:rsidRDefault="007E3D88" w:rsidP="00F3142C"/>
    <w:p w:rsidR="007E3D88" w:rsidRDefault="007E3D88" w:rsidP="00F3142C"/>
    <w:p w:rsidR="007E3D88" w:rsidRDefault="007E3D88" w:rsidP="00F3142C"/>
    <w:p w:rsidR="007E3D88" w:rsidRDefault="007E3D88" w:rsidP="00F3142C"/>
    <w:p w:rsidR="007E3D88" w:rsidRDefault="007E3D88" w:rsidP="00F3142C"/>
    <w:p w:rsidR="007E3D88" w:rsidRDefault="007E3D88">
      <w:pPr>
        <w:spacing w:after="160" w:line="259" w:lineRule="auto"/>
      </w:pPr>
    </w:p>
    <w:p w:rsidR="00E24304" w:rsidRDefault="00E24304">
      <w:pPr>
        <w:spacing w:after="160" w:line="259" w:lineRule="auto"/>
      </w:pPr>
    </w:p>
    <w:p w:rsidR="00E24304" w:rsidRDefault="00E24304">
      <w:pPr>
        <w:spacing w:after="160" w:line="259" w:lineRule="auto"/>
      </w:pPr>
    </w:p>
    <w:p w:rsidR="0069282A" w:rsidRPr="00E24304" w:rsidRDefault="0069282A">
      <w:pPr>
        <w:spacing w:after="160" w:line="259" w:lineRule="auto"/>
      </w:pPr>
    </w:p>
    <w:sectPr w:rsidR="0069282A" w:rsidRPr="00E2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1FA0"/>
    <w:multiLevelType w:val="hybridMultilevel"/>
    <w:tmpl w:val="D516242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2D25"/>
    <w:multiLevelType w:val="hybridMultilevel"/>
    <w:tmpl w:val="61A0B75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2"/>
    <w:rsid w:val="00014884"/>
    <w:rsid w:val="000755AB"/>
    <w:rsid w:val="000A02F3"/>
    <w:rsid w:val="000A15E8"/>
    <w:rsid w:val="0013032F"/>
    <w:rsid w:val="001F57A0"/>
    <w:rsid w:val="00214614"/>
    <w:rsid w:val="00325E17"/>
    <w:rsid w:val="00417F11"/>
    <w:rsid w:val="005E543D"/>
    <w:rsid w:val="0069282A"/>
    <w:rsid w:val="007E1BC5"/>
    <w:rsid w:val="007E3D88"/>
    <w:rsid w:val="00835471"/>
    <w:rsid w:val="00902388"/>
    <w:rsid w:val="00B030CE"/>
    <w:rsid w:val="00B433E3"/>
    <w:rsid w:val="00C06E97"/>
    <w:rsid w:val="00C33BF9"/>
    <w:rsid w:val="00CA69D5"/>
    <w:rsid w:val="00D5392E"/>
    <w:rsid w:val="00E24304"/>
    <w:rsid w:val="00EA1347"/>
    <w:rsid w:val="00F11074"/>
    <w:rsid w:val="00F3142C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113A"/>
  <w15:chartTrackingRefBased/>
  <w15:docId w15:val="{11662D29-4188-4A6A-86A9-5CF209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2388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11074"/>
    <w:pPr>
      <w:keepNext/>
      <w:keepLines/>
      <w:spacing w:before="240" w:line="259" w:lineRule="auto"/>
      <w:outlineLvl w:val="0"/>
    </w:pPr>
    <w:rPr>
      <w:rFonts w:ascii="Segoe UI" w:eastAsiaTheme="majorEastAsia" w:hAnsi="Segoe U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074"/>
    <w:pPr>
      <w:keepNext/>
      <w:keepLines/>
      <w:spacing w:before="40" w:line="259" w:lineRule="auto"/>
      <w:outlineLvl w:val="1"/>
    </w:pPr>
    <w:rPr>
      <w:rFonts w:ascii="Segoe UI" w:eastAsiaTheme="majorEastAsia" w:hAnsi="Segoe UI" w:cstheme="majorBidi"/>
      <w:color w:val="2E74B5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1074"/>
    <w:pPr>
      <w:keepNext/>
      <w:keepLines/>
      <w:spacing w:before="40" w:line="259" w:lineRule="auto"/>
      <w:outlineLvl w:val="2"/>
    </w:pPr>
    <w:rPr>
      <w:rFonts w:ascii="Segoe UI" w:eastAsiaTheme="majorEastAsia" w:hAnsi="Segoe UI" w:cstheme="majorBidi"/>
      <w:color w:val="1F4D78" w:themeColor="accent1" w:themeShade="7F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69D5"/>
    <w:pPr>
      <w:keepNext/>
      <w:keepLines/>
      <w:spacing w:before="40" w:line="259" w:lineRule="auto"/>
      <w:outlineLvl w:val="3"/>
    </w:pPr>
    <w:rPr>
      <w:rFonts w:ascii="Segoe UI" w:eastAsiaTheme="majorEastAsia" w:hAnsi="Segoe UI" w:cstheme="majorBidi"/>
      <w:i/>
      <w:iCs/>
      <w:color w:val="2E74B5" w:themeColor="accent1" w:themeShade="BF"/>
      <w:sz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A69D5"/>
    <w:pPr>
      <w:keepNext/>
      <w:keepLines/>
      <w:spacing w:before="40" w:line="259" w:lineRule="auto"/>
      <w:outlineLvl w:val="4"/>
    </w:pPr>
    <w:rPr>
      <w:rFonts w:ascii="Segoe UI" w:eastAsiaTheme="majorEastAsia" w:hAnsi="Segoe UI" w:cstheme="majorBidi"/>
      <w:color w:val="2E74B5" w:themeColor="accent1" w:themeShade="BF"/>
      <w:sz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69D5"/>
    <w:pPr>
      <w:keepNext/>
      <w:keepLines/>
      <w:spacing w:before="40" w:line="259" w:lineRule="auto"/>
      <w:outlineLvl w:val="5"/>
    </w:pPr>
    <w:rPr>
      <w:rFonts w:ascii="Segoe UI" w:eastAsiaTheme="majorEastAsia" w:hAnsi="Segoe UI" w:cstheme="majorBidi"/>
      <w:color w:val="1F4D78" w:themeColor="accent1" w:themeShade="7F"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1074"/>
    <w:pPr>
      <w:spacing w:after="0" w:line="240" w:lineRule="auto"/>
    </w:pPr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11074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11074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11074"/>
    <w:rPr>
      <w:rFonts w:ascii="Segoe UI" w:eastAsiaTheme="majorEastAsia" w:hAnsi="Segoe U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1074"/>
    <w:pPr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11074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1074"/>
    <w:pPr>
      <w:numPr>
        <w:ilvl w:val="1"/>
      </w:numPr>
      <w:spacing w:after="160" w:line="259" w:lineRule="auto"/>
    </w:pPr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1074"/>
    <w:rPr>
      <w:rFonts w:ascii="Segoe UI" w:eastAsiaTheme="minorEastAsia" w:hAnsi="Segoe U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F11074"/>
    <w:rPr>
      <w:rFonts w:ascii="Segoe UI" w:hAnsi="Segoe U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F11074"/>
    <w:rPr>
      <w:rFonts w:ascii="Segoe UI" w:hAnsi="Segoe U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11074"/>
    <w:rPr>
      <w:rFonts w:ascii="Segoe UI" w:hAnsi="Segoe UI"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sid w:val="00F11074"/>
    <w:rPr>
      <w:rFonts w:ascii="Segoe UI" w:hAnsi="Segoe U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F11074"/>
    <w:pPr>
      <w:spacing w:before="200" w:after="160" w:line="259" w:lineRule="auto"/>
      <w:ind w:left="864" w:right="864"/>
      <w:jc w:val="center"/>
    </w:pPr>
    <w:rPr>
      <w:rFonts w:ascii="Segoe UI" w:hAnsi="Segoe UI" w:cstheme="minorBidi"/>
      <w:i/>
      <w:iCs/>
      <w:color w:val="404040" w:themeColor="text1" w:themeTint="BF"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11074"/>
    <w:rPr>
      <w:rFonts w:ascii="Segoe UI" w:hAnsi="Segoe UI"/>
      <w:i/>
      <w:iCs/>
      <w:color w:val="404040" w:themeColor="text1" w:themeTint="BF"/>
      <w:sz w:val="20"/>
    </w:rPr>
  </w:style>
  <w:style w:type="character" w:styleId="Subtieleverwijzing">
    <w:name w:val="Subtle Reference"/>
    <w:basedOn w:val="Standaardalinea-lettertype"/>
    <w:uiPriority w:val="31"/>
    <w:qFormat/>
    <w:rsid w:val="00F11074"/>
    <w:rPr>
      <w:rFonts w:ascii="Segoe UI" w:hAnsi="Segoe U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F11074"/>
    <w:rPr>
      <w:rFonts w:ascii="Segoe UI" w:hAnsi="Segoe UI"/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F11074"/>
    <w:rPr>
      <w:rFonts w:ascii="Segoe UI" w:hAnsi="Segoe UI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F11074"/>
    <w:pPr>
      <w:spacing w:after="160" w:line="259" w:lineRule="auto"/>
      <w:ind w:left="720"/>
      <w:contextualSpacing/>
    </w:pPr>
    <w:rPr>
      <w:rFonts w:ascii="Segoe UI" w:hAnsi="Segoe UI" w:cstheme="minorBidi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A69D5"/>
    <w:rPr>
      <w:rFonts w:ascii="Segoe UI" w:eastAsiaTheme="majorEastAsia" w:hAnsi="Segoe U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CA69D5"/>
    <w:rPr>
      <w:rFonts w:ascii="Segoe UI" w:eastAsiaTheme="majorEastAsia" w:hAnsi="Segoe U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69D5"/>
    <w:rPr>
      <w:rFonts w:ascii="Segoe UI" w:eastAsiaTheme="majorEastAsia" w:hAnsi="Segoe UI" w:cstheme="majorBidi"/>
      <w:color w:val="1F4D78" w:themeColor="accent1" w:themeShade="7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Segoe UI" w:hAnsi="Segoe UI" w:cstheme="minorBidi"/>
      <w:i/>
      <w:iCs/>
      <w:color w:val="5B9BD5" w:themeColor="accent1"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9D5"/>
    <w:rPr>
      <w:rFonts w:ascii="Segoe UI" w:hAnsi="Segoe UI"/>
      <w:i/>
      <w:iCs/>
      <w:color w:val="5B9BD5" w:themeColor="accent1"/>
      <w:sz w:val="20"/>
    </w:rPr>
  </w:style>
  <w:style w:type="paragraph" w:customStyle="1" w:styleId="Default">
    <w:name w:val="Default"/>
    <w:rsid w:val="00F71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semiHidden/>
    <w:unhideWhenUsed/>
    <w:rsid w:val="00F3142C"/>
    <w:rPr>
      <w:strike w:val="0"/>
      <w:dstrike w:val="0"/>
      <w:color w:val="auto"/>
      <w:u w:val="none"/>
      <w:effect w:val="none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8354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ved=2ahUKEwj6hbfW9vXkAhVMI1AKHSqKDxIQjRx6BAgBEAQ&amp;url=https://siris.nl/artikel/47325514/open-dag-elkerliek-ziekenhuis-helmond&amp;psig=AOvVaw1-Ym9b34lHt8An82uof-Hh&amp;ust=15698429017993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ved=2ahUKEwi24amr9vXkAhUFfFAKHejoAdUQjRx6BAgBEAQ&amp;url=https://twitter.com/etznl&amp;psig=AOvVaw0vJyyfRv1SXS8mYnI2iq3m&amp;ust=156984281127996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ved=2ahUKEwjizOry9fXkAhXDbVAKHWcsCp8QjRx6BAgBEAQ&amp;url=https://www.zorgvisie.nl/jbz-lanceert-ziekenhuisbrede-voorlichtingsapp-1829758w/&amp;psig=AOvVaw07OSs58CcPKyNvI4WnjuWa&amp;ust=156984268504837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Lydia</dc:creator>
  <cp:keywords/>
  <dc:description/>
  <cp:lastModifiedBy>Schipper, Lydia</cp:lastModifiedBy>
  <cp:revision>5</cp:revision>
  <dcterms:created xsi:type="dcterms:W3CDTF">2019-10-06T10:49:00Z</dcterms:created>
  <dcterms:modified xsi:type="dcterms:W3CDTF">2019-10-06T11:27:00Z</dcterms:modified>
</cp:coreProperties>
</file>